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7193" w:rsidRDefault="00D2383D">
      <w:pPr>
        <w:ind w:right="3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8"/>
          <w:szCs w:val="28"/>
          <w:highlight w:val="white"/>
        </w:rPr>
        <w:t xml:space="preserve"> </w:t>
      </w:r>
      <w:r w:rsidR="00E55D20">
        <w:rPr>
          <w:rFonts w:ascii="Times New Roman" w:eastAsia="Times New Roman" w:hAnsi="Times New Roman" w:cs="Times New Roman"/>
          <w:b/>
          <w:sz w:val="28"/>
          <w:szCs w:val="28"/>
          <w:highlight w:val="white"/>
        </w:rPr>
        <w:t xml:space="preserve">Sample Text </w:t>
      </w:r>
      <w:r w:rsidR="00AB79DF" w:rsidRPr="00F65BF2">
        <w:rPr>
          <w:rFonts w:ascii="Times New Roman" w:eastAsia="Times New Roman" w:hAnsi="Times New Roman" w:cs="Times New Roman"/>
          <w:b/>
          <w:sz w:val="28"/>
          <w:szCs w:val="28"/>
        </w:rPr>
        <w:t>Exploring Object-Oriented Paradigms: A Comprehensive Study of Polymorphism</w:t>
      </w:r>
      <w:bookmarkStart w:id="0" w:name="_GoBack"/>
      <w:bookmarkEnd w:id="0"/>
    </w:p>
    <w:p w:rsidR="00607193" w:rsidRPr="001B4237" w:rsidRDefault="00D2383D">
      <w:pPr>
        <w:tabs>
          <w:tab w:val="left" w:pos="613"/>
          <w:tab w:val="center" w:pos="4536"/>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sz w:val="24"/>
          <w:szCs w:val="24"/>
        </w:rPr>
        <w:t xml:space="preserve"> </w:t>
      </w:r>
      <w:r w:rsidR="006E6C4B" w:rsidRPr="006E6C4B">
        <w:rPr>
          <w:rFonts w:ascii="Times New Roman" w:eastAsia="Times New Roman" w:hAnsi="Times New Roman" w:cs="Times New Roman"/>
          <w:sz w:val="24"/>
          <w:szCs w:val="24"/>
        </w:rPr>
        <w:t>First Author</w:t>
      </w:r>
      <w:r w:rsidR="006E6C4B">
        <w:rPr>
          <w:rFonts w:ascii="Times New Roman" w:eastAsia="Times New Roman" w:hAnsi="Times New Roman" w:cs="Times New Roman"/>
          <w:sz w:val="24"/>
          <w:szCs w:val="24"/>
          <w:vertAlign w:val="superscript"/>
        </w:rPr>
        <w:t>1</w:t>
      </w:r>
      <w:r w:rsidR="001B4237">
        <w:rPr>
          <w:rFonts w:ascii="Times New Roman" w:eastAsia="Times New Roman" w:hAnsi="Times New Roman" w:cs="Times New Roman"/>
          <w:sz w:val="24"/>
          <w:szCs w:val="24"/>
        </w:rPr>
        <w:t xml:space="preserve">, </w:t>
      </w:r>
      <w:r w:rsidR="001B4237">
        <w:rPr>
          <w:rFonts w:ascii="Times New Roman" w:eastAsia="Times New Roman" w:hAnsi="Times New Roman" w:cs="Times New Roman"/>
          <w:sz w:val="24"/>
          <w:szCs w:val="24"/>
        </w:rPr>
        <w:t>Second</w:t>
      </w:r>
      <w:r w:rsidR="001B4237" w:rsidRPr="006E6C4B">
        <w:rPr>
          <w:rFonts w:ascii="Times New Roman" w:eastAsia="Times New Roman" w:hAnsi="Times New Roman" w:cs="Times New Roman"/>
          <w:sz w:val="24"/>
          <w:szCs w:val="24"/>
        </w:rPr>
        <w:t xml:space="preserve"> Author</w:t>
      </w:r>
      <w:r w:rsidR="001B4237">
        <w:rPr>
          <w:rFonts w:ascii="Times New Roman" w:eastAsia="Times New Roman" w:hAnsi="Times New Roman" w:cs="Times New Roman"/>
          <w:sz w:val="24"/>
          <w:szCs w:val="24"/>
          <w:vertAlign w:val="superscript"/>
        </w:rPr>
        <w:t>2</w:t>
      </w:r>
    </w:p>
    <w:p w:rsidR="006E6C4B" w:rsidRPr="001B4237" w:rsidRDefault="006E6C4B" w:rsidP="001B4237">
      <w:pPr>
        <w:spacing w:after="0" w:line="240" w:lineRule="auto"/>
        <w:jc w:val="center"/>
        <w:rPr>
          <w:rFonts w:ascii="Times New Roman" w:eastAsia="Times New Roman" w:hAnsi="Times New Roman" w:cs="Times New Roman"/>
          <w:i/>
          <w:sz w:val="23"/>
          <w:szCs w:val="23"/>
        </w:rPr>
      </w:pPr>
      <w:r w:rsidRPr="001746B8">
        <w:rPr>
          <w:rFonts w:ascii="Times New Roman" w:eastAsia="Times New Roman" w:hAnsi="Times New Roman" w:cs="Times New Roman"/>
          <w:sz w:val="23"/>
          <w:szCs w:val="23"/>
          <w:vertAlign w:val="superscript"/>
        </w:rPr>
        <w:t>1</w:t>
      </w:r>
      <w:r w:rsidRPr="001746B8">
        <w:rPr>
          <w:rFonts w:ascii="Times New Roman" w:eastAsia="Times New Roman" w:hAnsi="Times New Roman" w:cs="Times New Roman"/>
          <w:i/>
          <w:sz w:val="23"/>
          <w:szCs w:val="23"/>
        </w:rPr>
        <w:t>Affiliation, Department, Institute, City, State, Country</w:t>
      </w:r>
    </w:p>
    <w:p w:rsidR="00607193" w:rsidRPr="001B4237" w:rsidRDefault="006E6C4B" w:rsidP="001B4237">
      <w:pPr>
        <w:spacing w:after="0" w:line="240" w:lineRule="auto"/>
        <w:jc w:val="center"/>
        <w:rPr>
          <w:rFonts w:ascii="Times New Roman" w:eastAsia="Times New Roman" w:hAnsi="Times New Roman" w:cs="Times New Roman"/>
          <w:i/>
          <w:sz w:val="23"/>
          <w:szCs w:val="23"/>
        </w:rPr>
      </w:pPr>
      <w:r w:rsidRPr="001746B8">
        <w:rPr>
          <w:rFonts w:ascii="Times New Roman" w:eastAsia="Times New Roman" w:hAnsi="Times New Roman" w:cs="Times New Roman"/>
          <w:sz w:val="23"/>
          <w:szCs w:val="23"/>
          <w:vertAlign w:val="superscript"/>
        </w:rPr>
        <w:t>2</w:t>
      </w:r>
      <w:r w:rsidRPr="001746B8">
        <w:rPr>
          <w:rFonts w:ascii="Times New Roman" w:eastAsia="Times New Roman" w:hAnsi="Times New Roman" w:cs="Times New Roman"/>
          <w:i/>
          <w:sz w:val="23"/>
          <w:szCs w:val="23"/>
        </w:rPr>
        <w:t>Affiliation, Department, Institute, City, State, Country</w:t>
      </w:r>
    </w:p>
    <w:p w:rsidR="00607193" w:rsidRDefault="00607193">
      <w:pPr>
        <w:spacing w:after="0" w:line="240" w:lineRule="auto"/>
        <w:jc w:val="center"/>
        <w:rPr>
          <w:rFonts w:ascii="Times New Roman" w:eastAsia="Times New Roman" w:hAnsi="Times New Roman" w:cs="Times New Roman"/>
          <w:b/>
          <w:i/>
          <w:color w:val="000000"/>
          <w:sz w:val="24"/>
          <w:szCs w:val="24"/>
        </w:rPr>
      </w:pPr>
    </w:p>
    <w:p w:rsidR="00607193" w:rsidRPr="001746B8" w:rsidRDefault="00D2383D">
      <w:pPr>
        <w:spacing w:after="0" w:line="240" w:lineRule="auto"/>
        <w:ind w:left="1304" w:right="1304"/>
        <w:jc w:val="both"/>
        <w:rPr>
          <w:rFonts w:ascii="Times New Roman" w:eastAsia="Times New Roman" w:hAnsi="Times New Roman" w:cs="Times New Roman"/>
          <w:color w:val="000000"/>
          <w:sz w:val="23"/>
          <w:szCs w:val="23"/>
        </w:rPr>
      </w:pPr>
      <w:r w:rsidRPr="001746B8">
        <w:rPr>
          <w:rFonts w:ascii="Times New Roman" w:eastAsia="Times New Roman" w:hAnsi="Times New Roman" w:cs="Times New Roman"/>
          <w:b/>
          <w:i/>
          <w:color w:val="000000"/>
          <w:sz w:val="23"/>
          <w:szCs w:val="23"/>
        </w:rPr>
        <w:t>Abstract:</w:t>
      </w:r>
      <w:r w:rsidRPr="001746B8">
        <w:rPr>
          <w:rFonts w:ascii="Times New Roman" w:eastAsia="Times New Roman" w:hAnsi="Times New Roman" w:cs="Times New Roman"/>
          <w:b/>
          <w:color w:val="000000"/>
          <w:sz w:val="23"/>
          <w:szCs w:val="23"/>
        </w:rPr>
        <w:t xml:space="preserve"> </w:t>
      </w:r>
      <w:r w:rsidRPr="001746B8">
        <w:rPr>
          <w:rFonts w:ascii="Times New Roman" w:eastAsia="Times New Roman" w:hAnsi="Times New Roman" w:cs="Times New Roman"/>
          <w:sz w:val="23"/>
          <w:szCs w:val="23"/>
        </w:rPr>
        <w:t>The demand for safety and sustainable transportation brings innovation in vehicle technology. Bicycling is one of the oldest and fittest ways of transportation. A lot of research is going on self-balanced and autonomous two-wheeler vehicles to attract riders.  An attempt is made here to propose the design components of autonomous self-balancing bicycles. Gyroscopes, widely used in stabilizing systems, emerge as a vital component in the development of self-balancing bicycles. This study focuses on use of gyroscopes and specifically designed flywheel, aimed at facilitating autonomous motion along both straight trajectories and curved paths. This paper illustrates how gyroscopes and flywheel maintain stability in self-balancing bicycles during tilting. Autonomous capability includes use of various sensors and camera to detect objects for navigation and use computer vision efficiently with the help of machine learning algorithms. The proposed design framework will help in a transformative era of innovation in urban mobility, promising safer and more sustainable ways of getting around in cities.</w:t>
      </w:r>
      <w:r w:rsidRPr="001746B8">
        <w:rPr>
          <w:rFonts w:ascii="Times New Roman" w:eastAsia="Times New Roman" w:hAnsi="Times New Roman" w:cs="Times New Roman"/>
          <w:color w:val="000000"/>
          <w:sz w:val="23"/>
          <w:szCs w:val="23"/>
        </w:rPr>
        <w:t xml:space="preserve">   </w:t>
      </w:r>
    </w:p>
    <w:p w:rsidR="00607193" w:rsidRDefault="00D2383D">
      <w:pPr>
        <w:spacing w:after="0" w:line="240" w:lineRule="auto"/>
        <w:ind w:left="1304" w:right="1304"/>
        <w:jc w:val="both"/>
        <w:rPr>
          <w:rFonts w:ascii="Times New Roman" w:eastAsia="Times New Roman" w:hAnsi="Times New Roman" w:cs="Times New Roman"/>
          <w:sz w:val="23"/>
          <w:szCs w:val="23"/>
        </w:rPr>
      </w:pPr>
      <w:r w:rsidRPr="001746B8">
        <w:rPr>
          <w:rFonts w:ascii="Times New Roman" w:eastAsia="Times New Roman" w:hAnsi="Times New Roman" w:cs="Times New Roman"/>
          <w:b/>
          <w:i/>
          <w:color w:val="000000"/>
          <w:sz w:val="23"/>
          <w:szCs w:val="23"/>
        </w:rPr>
        <w:t>Keywords:</w:t>
      </w:r>
      <w:r w:rsidRPr="001746B8">
        <w:rPr>
          <w:rFonts w:ascii="Times New Roman" w:eastAsia="Times New Roman" w:hAnsi="Times New Roman" w:cs="Times New Roman"/>
          <w:color w:val="000000"/>
          <w:sz w:val="23"/>
          <w:szCs w:val="23"/>
        </w:rPr>
        <w:t xml:space="preserve"> </w:t>
      </w:r>
      <w:r w:rsidRPr="001746B8">
        <w:rPr>
          <w:rFonts w:ascii="Times New Roman" w:eastAsia="Times New Roman" w:hAnsi="Times New Roman" w:cs="Times New Roman"/>
          <w:sz w:val="23"/>
          <w:szCs w:val="23"/>
        </w:rPr>
        <w:t>autonomous vehicle, self balancing, smart driving, smart vehicle</w:t>
      </w:r>
    </w:p>
    <w:p w:rsidR="00607193" w:rsidRPr="001B4237" w:rsidRDefault="00607193" w:rsidP="001B4237">
      <w:pPr>
        <w:spacing w:before="120" w:after="120" w:line="240" w:lineRule="auto"/>
        <w:jc w:val="both"/>
        <w:rPr>
          <w:rFonts w:ascii="Times New Roman" w:eastAsia="Times New Roman" w:hAnsi="Times New Roman" w:cs="Times New Roman"/>
          <w:color w:val="000000"/>
          <w:sz w:val="23"/>
          <w:szCs w:val="24"/>
        </w:rPr>
      </w:pPr>
    </w:p>
    <w:p w:rsidR="006E6C4B" w:rsidRPr="001B4237" w:rsidRDefault="006E6C4B" w:rsidP="001B4237">
      <w:pPr>
        <w:numPr>
          <w:ilvl w:val="0"/>
          <w:numId w:val="2"/>
        </w:numPr>
        <w:spacing w:before="120" w:after="120" w:line="240" w:lineRule="auto"/>
        <w:ind w:left="357" w:hanging="357"/>
        <w:jc w:val="both"/>
        <w:rPr>
          <w:rFonts w:ascii="Times New Roman" w:eastAsia="Times New Roman" w:hAnsi="Times New Roman" w:cs="Times New Roman"/>
          <w:b/>
          <w:color w:val="000000"/>
          <w:sz w:val="23"/>
          <w:szCs w:val="24"/>
        </w:rPr>
      </w:pPr>
      <w:r w:rsidRPr="001B4237">
        <w:rPr>
          <w:rFonts w:ascii="Times New Roman" w:eastAsia="Times New Roman" w:hAnsi="Times New Roman" w:cs="Times New Roman"/>
          <w:b/>
          <w:color w:val="000000"/>
          <w:sz w:val="23"/>
          <w:szCs w:val="24"/>
        </w:rPr>
        <w:t>Introduction</w:t>
      </w:r>
    </w:p>
    <w:p w:rsidR="00607193" w:rsidRPr="001B4237" w:rsidRDefault="00E55D20" w:rsidP="001B4237">
      <w:pPr>
        <w:spacing w:before="120" w:after="120" w:line="240" w:lineRule="auto"/>
        <w:jc w:val="both"/>
        <w:rPr>
          <w:rFonts w:ascii="Times New Roman" w:eastAsia="Times New Roman" w:hAnsi="Times New Roman" w:cs="Times New Roman"/>
          <w:color w:val="000000"/>
          <w:sz w:val="23"/>
          <w:szCs w:val="24"/>
        </w:rPr>
      </w:pPr>
      <w:r>
        <w:rPr>
          <w:rFonts w:ascii="Times New Roman" w:eastAsia="Times New Roman" w:hAnsi="Times New Roman" w:cs="Times New Roman"/>
          <w:color w:val="000000"/>
          <w:sz w:val="23"/>
          <w:szCs w:val="24"/>
        </w:rPr>
        <w:t>All text: Times New Roman, 11.5 , (Special: First Line, by: 1.1</w:t>
      </w:r>
      <w:r w:rsidR="00D2383D" w:rsidRPr="001B4237">
        <w:rPr>
          <w:rFonts w:ascii="Times New Roman" w:eastAsia="Times New Roman" w:hAnsi="Times New Roman" w:cs="Times New Roman"/>
          <w:color w:val="000000"/>
          <w:sz w:val="23"/>
          <w:szCs w:val="24"/>
        </w:rPr>
        <w:t xml:space="preserve"> cm), (single space), (justified), (Layout- Margins- Normal Top: 2,5 cm Bottom: 2 cm Left: 2,5 cm Right: 2,5 cm), (Spacing: Before: 0 cm, After: 0 cm) </w:t>
      </w:r>
    </w:p>
    <w:p w:rsidR="001746B8" w:rsidRPr="001B4237" w:rsidRDefault="00D2383D" w:rsidP="001B4237">
      <w:pPr>
        <w:spacing w:before="120" w:after="120" w:line="240" w:lineRule="auto"/>
        <w:jc w:val="both"/>
        <w:rPr>
          <w:rFonts w:ascii="Times New Roman" w:eastAsia="Times New Roman" w:hAnsi="Times New Roman" w:cs="Times New Roman"/>
          <w:color w:val="000000"/>
          <w:sz w:val="23"/>
          <w:szCs w:val="24"/>
        </w:rPr>
      </w:pPr>
      <w:r w:rsidRPr="001B4237">
        <w:rPr>
          <w:rFonts w:ascii="Times New Roman" w:eastAsia="Times New Roman" w:hAnsi="Times New Roman" w:cs="Times New Roman"/>
          <w:color w:val="000000"/>
          <w:sz w:val="23"/>
          <w:szCs w:val="24"/>
        </w:rPr>
        <w:t>The fundamental objective of multicultural education is to help students consider their diversity of ethnicity and race as an educational alternative and develop their knowledge, skills a</w:t>
      </w:r>
      <w:r w:rsidR="001B4237">
        <w:rPr>
          <w:rFonts w:ascii="Times New Roman" w:eastAsia="Times New Roman" w:hAnsi="Times New Roman" w:cs="Times New Roman"/>
          <w:color w:val="000000"/>
          <w:sz w:val="23"/>
          <w:szCs w:val="24"/>
        </w:rPr>
        <w:t>nd behaviors necessary for them.</w:t>
      </w:r>
    </w:p>
    <w:p>
      <w:pPr>
        <w:spacing w:before="0" w:after="0" w:line="240" w:lineRule="auto"/>
        <w:jc w:val="left"/>
        <w:keepNext/>
      </w:pPr>
      <w:r>
        <w:rPr>
          <w:rFonts w:ascii="Times New Roman" w:hAnsi="Times New Roman" w:cs="Times New Roman"/>
          <w:b/>
          <w:color w:val="000000"/>
          <w:sz w:val="22"/>
          <w:szCs w:val="22"/>
        </w:rPr>
        <w:t xml:space="preserve">Figure 1</w:t>
      </w:r>
    </w:p>
    <w:p>
      <w:pPr>
        <w:spacing w:before="0" w:after="70" w:line="240" w:lineRule="auto"/>
        <w:jc w:val="left"/>
        <w:keepNext/>
      </w:pPr>
      <w:r>
        <w:rPr>
          <w:rFonts w:ascii="Times New Roman" w:hAnsi="Times New Roman" w:cs="Times New Roman"/>
          <w:color w:val="000000"/>
          <w:sz w:val="20"/>
          <w:szCs w:val="20"/>
          <w:i/>
        </w:rPr>
        <w:t xml:space="preserve">Interaction Between Main Actors of the Integration Process</w:t>
      </w:r>
    </w:p>
    <w:tbl>
      <w:tblPr>
        <w:tblW w:w="9072" w:type="dxa"/>
        <w:tblLayout w:type="fixed"/>
      </w:tblPr>
      <w:tblGrid>
        <w:gridCol w:w="2350"/>
        <w:gridCol w:w="500"/>
        <w:gridCol w:w="2950"/>
        <w:gridCol w:w="500"/>
        <w:gridCol w:w="2772"/>
      </w:tblGrid>
      <w:tr>
        <w:trPr>
          <w:cantSplit/>
        </w:trPr>
        <w:tc>
          <w:tcPr>
            <w:tcW w:w="2350" w:type="dxa"/>
            <w:vAlign w:val="center"/>
            <w:tcBorders>
              <w:top w:val="single" w:sz="5" w:color="000000"/>
              <w:left w:val="single" w:sz="5" w:color="000000"/>
              <w:bottom w:val="single" w:sz="5" w:color="000000"/>
              <w:right w:val="single" w:sz="5" w:color="000000"/>
            </w:tcBorders>
            <w:tcMar>
              <w:top w:w="100" w:type="dxa"/>
              <w:left w:w="100" w:type="dxa"/>
              <w:bottom w:w="100" w:type="dxa"/>
              <w:right w:w="100" w:type="dxa"/>
            </w:tcMar>
          </w:tcPr>
          <w:p>
            <w:pPr>
              <w:spacing w:before="0" w:after="0" w:line="240" w:lineRule="auto"/>
              <w:jc w:val="center"/>
            </w:pPr>
            <w:r>
              <w:rPr>
                <w:rFonts w:ascii="Times New Roman" w:hAnsi="Times New Roman" w:cs="Times New Roman"/>
                <w:color w:val="000000"/>
                <w:sz w:val="20"/>
                <w:szCs w:val="20"/>
              </w:rPr>
              <w:t xml:space="preserve">Official Integration Policies and Procedures</w:t>
            </w:r>
          </w:p>
        </w:tc>
        <w:tc>
          <w:tcPr>
            <w:tcW w:w="500" w:type="dxa"/>
            <w:vAlign w:val="center"/>
            <w:tcBorders>
              <w:top w:val="nil" w:sz="5" w:color="000000"/>
              <w:left w:val="nil" w:sz="5" w:color="000000"/>
              <w:bottom w:val="nil" w:sz="5" w:color="000000"/>
              <w:right w:val="nil" w:sz="5" w:color="000000"/>
            </w:tcBorders>
            <w:tcMar>
              <w:top w:w="100" w:type="dxa"/>
              <w:left w:w="100" w:type="dxa"/>
              <w:bottom w:w="100" w:type="dxa"/>
              <w:right w:w="100" w:type="dxa"/>
            </w:tcMar>
          </w:tcPr>
          <w:p>
            <w:pPr>
              <w:spacing w:before="0" w:after="0" w:line="240" w:lineRule="auto"/>
              <w:jc w:val="center"/>
            </w:pPr>
            <w:r>
              <w:rPr>
                <w:rFonts w:ascii="Times New Roman" w:hAnsi="Times New Roman" w:cs="Times New Roman"/>
                <w:color w:val="000000"/>
                <w:sz w:val="20"/>
                <w:szCs w:val="20"/>
              </w:rPr>
              <w:t xml:space="preserve">→</w:t>
            </w:r>
          </w:p>
        </w:tc>
        <w:tc>
          <w:tcPr>
            <w:tcW w:w="2950" w:type="dxa"/>
            <w:vAlign w:val="center"/>
            <w:tcBorders>
              <w:top w:val="single" w:sz="5" w:color="000000"/>
              <w:left w:val="single" w:sz="5" w:color="000000"/>
              <w:bottom w:val="single" w:sz="5" w:color="000000"/>
              <w:right w:val="single" w:sz="5" w:color="000000"/>
            </w:tcBorders>
            <w:tcMar>
              <w:top w:w="100" w:type="dxa"/>
              <w:left w:w="100" w:type="dxa"/>
              <w:bottom w:w="100" w:type="dxa"/>
              <w:right w:w="100" w:type="dxa"/>
            </w:tcMar>
          </w:tcPr>
          <w:p>
            <w:pPr>
              <w:spacing w:before="0" w:after="0" w:line="240" w:lineRule="auto"/>
              <w:jc w:val="center"/>
            </w:pPr>
            <w:r>
              <w:rPr>
                <w:rFonts w:ascii="Times New Roman" w:hAnsi="Times New Roman" w:cs="Times New Roman"/>
                <w:color w:val="000000"/>
                <w:sz w:val="20"/>
                <w:szCs w:val="20"/>
              </w:rPr>
              <w:t xml:space="preserve">Refugees (Individual and Social level)</w:t>
            </w:r>
          </w:p>
        </w:tc>
        <w:tc>
          <w:tcPr>
            <w:tcW w:w="500" w:type="dxa"/>
            <w:vAlign w:val="center"/>
            <w:tcBorders>
              <w:top w:val="nil" w:sz="5" w:color="000000"/>
              <w:left w:val="nil" w:sz="5" w:color="000000"/>
              <w:bottom w:val="nil" w:sz="5" w:color="000000"/>
              <w:right w:val="nil" w:sz="5" w:color="000000"/>
            </w:tcBorders>
            <w:tcMar>
              <w:top w:w="100" w:type="dxa"/>
              <w:left w:w="100" w:type="dxa"/>
              <w:bottom w:w="100" w:type="dxa"/>
              <w:right w:w="100" w:type="dxa"/>
            </w:tcMar>
          </w:tcPr>
          <w:p>
            <w:pPr>
              <w:spacing w:before="0" w:after="0" w:line="240" w:lineRule="auto"/>
              <w:jc w:val="center"/>
            </w:pPr>
            <w:r>
              <w:rPr>
                <w:rFonts w:ascii="Times New Roman" w:hAnsi="Times New Roman" w:cs="Times New Roman"/>
                <w:color w:val="000000"/>
                <w:sz w:val="20"/>
                <w:szCs w:val="20"/>
              </w:rPr>
              <w:t xml:space="preserve">←</w:t>
            </w:r>
          </w:p>
        </w:tc>
        <w:tc>
          <w:tcPr>
            <w:tcW w:w="2772" w:type="dxa"/>
            <w:vAlign w:val="center"/>
            <w:tcBorders>
              <w:top w:val="single" w:sz="5" w:color="000000"/>
              <w:left w:val="single" w:sz="5" w:color="000000"/>
              <w:bottom w:val="single" w:sz="5" w:color="000000"/>
              <w:right w:val="single" w:sz="5" w:color="000000"/>
            </w:tcBorders>
            <w:tcMar>
              <w:top w:w="100" w:type="dxa"/>
              <w:left w:w="100" w:type="dxa"/>
              <w:bottom w:w="100" w:type="dxa"/>
              <w:right w:w="100" w:type="dxa"/>
            </w:tcMar>
          </w:tcPr>
          <w:p>
            <w:pPr>
              <w:spacing w:before="0" w:after="0" w:line="240" w:lineRule="auto"/>
              <w:jc w:val="center"/>
            </w:pPr>
            <w:r>
              <w:rPr>
                <w:rFonts w:ascii="Times New Roman" w:hAnsi="Times New Roman" w:cs="Times New Roman"/>
                <w:color w:val="000000"/>
                <w:sz w:val="20"/>
                <w:szCs w:val="20"/>
              </w:rPr>
              <w:t xml:space="preserve">Society: Social Expectations</w:t>
            </w:r>
          </w:p>
        </w:tc>
      </w:tr>
    </w:tbl>
    <w:p w:rsidR="00607193" w:rsidRPr="001B4237" w:rsidRDefault="00D2383D" w:rsidP="001B4237">
      <w:pPr>
        <w:numPr>
          <w:ilvl w:val="0"/>
          <w:numId w:val="2"/>
        </w:numPr>
        <w:spacing w:before="120" w:after="120" w:line="240" w:lineRule="auto"/>
        <w:ind w:left="357" w:hanging="357"/>
        <w:jc w:val="both"/>
        <w:rPr>
          <w:rFonts w:ascii="Times New Roman" w:eastAsia="Times New Roman" w:hAnsi="Times New Roman" w:cs="Times New Roman"/>
          <w:b/>
          <w:color w:val="000000"/>
          <w:sz w:val="23"/>
          <w:szCs w:val="24"/>
        </w:rPr>
      </w:pPr>
      <w:r w:rsidRPr="001B4237">
        <w:rPr>
          <w:rFonts w:ascii="Times New Roman" w:eastAsia="Times New Roman" w:hAnsi="Times New Roman" w:cs="Times New Roman"/>
          <w:b/>
          <w:color w:val="000000"/>
          <w:sz w:val="23"/>
          <w:szCs w:val="24"/>
        </w:rPr>
        <w:t xml:space="preserve">Literature Review </w:t>
      </w:r>
    </w:p>
    <w:p w:rsidR="00607193" w:rsidRPr="001B4237" w:rsidRDefault="00D2383D" w:rsidP="001B4237">
      <w:pPr>
        <w:spacing w:before="120" w:after="120" w:line="240" w:lineRule="auto"/>
        <w:jc w:val="both"/>
        <w:rPr>
          <w:rFonts w:ascii="Times New Roman" w:eastAsia="Times New Roman" w:hAnsi="Times New Roman" w:cs="Times New Roman"/>
          <w:color w:val="000000"/>
          <w:sz w:val="23"/>
          <w:szCs w:val="24"/>
        </w:rPr>
      </w:pPr>
      <w:r w:rsidRPr="001B4237">
        <w:rPr>
          <w:rFonts w:ascii="Times New Roman" w:eastAsia="Times New Roman" w:hAnsi="Times New Roman" w:cs="Times New Roman"/>
          <w:color w:val="000000"/>
          <w:sz w:val="23"/>
          <w:szCs w:val="24"/>
        </w:rPr>
        <w:t xml:space="preserve">The existing studies in school choice document that parents take into account numerous factors when determining their children’s school enrollment. What may be surprising is that academic quality is often not the only or even main variable in such decisions. For example, parents often move to communities and enroll their children in schools through the assistance of their social networks. Parents turn to family members, friends, and coworkers to obtain recommendations on communities and schools (Lareau, 2014). Because social networks in the U.S. are heavily </w:t>
      </w:r>
      <w:r w:rsidRPr="001B4237">
        <w:rPr>
          <w:rFonts w:ascii="Times New Roman" w:eastAsia="Times New Roman" w:hAnsi="Times New Roman" w:cs="Times New Roman"/>
          <w:color w:val="000000"/>
          <w:sz w:val="23"/>
          <w:szCs w:val="24"/>
        </w:rPr>
        <w:lastRenderedPageBreak/>
        <w:t xml:space="preserve">segregated by race and social class, parents often end up in communities and schools that mirror their social backgrounds (Lareau, 2014; Sattin-Bajaj &amp; Roda, 2018). Meanwhile, most white parents view majority black and Hispanic schools as undesirable (Billingham &amp; Hunt, 2016), and segregation by race in America’s public schools has increased markedly since the 1980s (Johnson &amp; Nazaryan, 2019; Logan et al., 2012). Relatedly, the convenience of the school’s location, behavioral and discipline standards, and the perceived safety of the school are all primary factors in school decisions (Lareau, 2014; Schneider et al., 2000). </w:t>
      </w:r>
    </w:p>
    <w:p w:rsidR="00607193" w:rsidRPr="001B4237" w:rsidRDefault="00D2383D" w:rsidP="001B4237">
      <w:pPr>
        <w:numPr>
          <w:ilvl w:val="0"/>
          <w:numId w:val="2"/>
        </w:numPr>
        <w:spacing w:before="120" w:after="120" w:line="240" w:lineRule="auto"/>
        <w:ind w:left="357" w:hanging="357"/>
        <w:jc w:val="both"/>
        <w:rPr>
          <w:rFonts w:ascii="Times New Roman" w:eastAsia="Times New Roman" w:hAnsi="Times New Roman" w:cs="Times New Roman"/>
          <w:b/>
          <w:color w:val="000000"/>
          <w:sz w:val="23"/>
          <w:szCs w:val="24"/>
        </w:rPr>
      </w:pPr>
      <w:r w:rsidRPr="001B4237">
        <w:rPr>
          <w:rFonts w:ascii="Times New Roman" w:eastAsia="Times New Roman" w:hAnsi="Times New Roman" w:cs="Times New Roman"/>
          <w:b/>
          <w:color w:val="000000"/>
          <w:sz w:val="23"/>
          <w:szCs w:val="24"/>
        </w:rPr>
        <w:t xml:space="preserve">Case and Methodology </w:t>
      </w:r>
    </w:p>
    <w:p w:rsidR="00607193" w:rsidRPr="001B4237" w:rsidRDefault="00D2383D" w:rsidP="001B4237">
      <w:pPr>
        <w:spacing w:before="120" w:after="120" w:line="240" w:lineRule="auto"/>
        <w:jc w:val="both"/>
        <w:rPr>
          <w:rFonts w:ascii="Times New Roman" w:eastAsia="Times New Roman" w:hAnsi="Times New Roman" w:cs="Times New Roman"/>
          <w:color w:val="000000"/>
          <w:sz w:val="23"/>
          <w:szCs w:val="24"/>
        </w:rPr>
      </w:pPr>
      <w:r w:rsidRPr="001B4237">
        <w:rPr>
          <w:rFonts w:ascii="Times New Roman" w:eastAsia="Times New Roman" w:hAnsi="Times New Roman" w:cs="Times New Roman"/>
          <w:color w:val="000000"/>
          <w:sz w:val="23"/>
          <w:szCs w:val="24"/>
        </w:rPr>
        <w:t xml:space="preserve">This research was conducted in Albany, New York, a city of roughly 100,000 residents in a metropolitan region approaching one million. About 10,500 students attend the City School District of Albany. Like other cities in the Northeast, Albany has suffered from both population decline and white flight since the 1950s, although these trends have reversed and slowed, respectively, during the last decade. The public-school population does not reflect the overall city population, with African American students constituting by far the largest group in the public schools, whereas the city is still majority white. The public schools in Albany, however, have never reflected the city’s broader population. This was mainly due to the sizable Roman Catholic parochial school presence in Albany, which always attracted large segments of children from Irish, Italian, and Polish American families (Rabrenovic, 1996). </w:t>
      </w:r>
    </w:p>
    <w:p w:rsidR="006E6C4B" w:rsidRPr="001B4237" w:rsidRDefault="006E6C4B" w:rsidP="001B4237">
      <w:pPr>
        <w:numPr>
          <w:ilvl w:val="0"/>
          <w:numId w:val="2"/>
        </w:numPr>
        <w:spacing w:before="120" w:after="120" w:line="240" w:lineRule="auto"/>
        <w:ind w:left="357" w:hanging="357"/>
        <w:jc w:val="both"/>
        <w:rPr>
          <w:rFonts w:ascii="Times New Roman" w:eastAsia="Times New Roman" w:hAnsi="Times New Roman" w:cs="Times New Roman"/>
          <w:b/>
          <w:color w:val="000000"/>
          <w:sz w:val="23"/>
          <w:szCs w:val="24"/>
        </w:rPr>
      </w:pPr>
      <w:r w:rsidRPr="001B4237">
        <w:rPr>
          <w:rFonts w:ascii="Times New Roman" w:eastAsia="Times New Roman" w:hAnsi="Times New Roman" w:cs="Times New Roman"/>
          <w:b/>
          <w:color w:val="000000"/>
          <w:sz w:val="23"/>
          <w:szCs w:val="24"/>
        </w:rPr>
        <w:t>Conclusion</w:t>
      </w:r>
    </w:p>
    <w:p w:rsidR="00607193" w:rsidRPr="001B4237" w:rsidRDefault="006E6C4B" w:rsidP="001B4237">
      <w:pPr>
        <w:spacing w:before="120" w:after="120" w:line="240" w:lineRule="auto"/>
        <w:jc w:val="both"/>
        <w:rPr>
          <w:rFonts w:ascii="Times New Roman" w:eastAsia="Times New Roman" w:hAnsi="Times New Roman" w:cs="Times New Roman"/>
          <w:color w:val="000000"/>
          <w:sz w:val="23"/>
          <w:szCs w:val="24"/>
        </w:rPr>
      </w:pPr>
      <w:r w:rsidRPr="001B4237">
        <w:rPr>
          <w:rFonts w:ascii="Times New Roman" w:eastAsia="Times New Roman" w:hAnsi="Times New Roman" w:cs="Times New Roman"/>
          <w:color w:val="000000"/>
          <w:sz w:val="23"/>
          <w:szCs w:val="24"/>
        </w:rPr>
        <w:t xml:space="preserve">This research was conducted in Albany, New York, a city of roughly 100,000 residents in a metropolitan region approaching one million. About 10,500 students attend the City School District of Albany. </w:t>
      </w:r>
    </w:p>
    <w:p w:rsidR="00607193" w:rsidRPr="001B4237" w:rsidRDefault="00D2383D" w:rsidP="001B4237">
      <w:pPr>
        <w:shd w:val="clear" w:color="auto" w:fill="FFFFFF"/>
        <w:spacing w:before="120" w:after="120" w:line="240" w:lineRule="auto"/>
        <w:jc w:val="both"/>
        <w:rPr>
          <w:rFonts w:ascii="Times New Roman" w:eastAsia="Times New Roman" w:hAnsi="Times New Roman" w:cs="Times New Roman"/>
          <w:color w:val="000000"/>
          <w:sz w:val="23"/>
          <w:szCs w:val="24"/>
        </w:rPr>
      </w:pPr>
      <w:r w:rsidRPr="001B4237">
        <w:rPr>
          <w:rFonts w:ascii="Times New Roman" w:eastAsia="Times New Roman" w:hAnsi="Times New Roman" w:cs="Times New Roman"/>
          <w:b/>
          <w:color w:val="000000"/>
          <w:sz w:val="23"/>
          <w:szCs w:val="24"/>
        </w:rPr>
        <w:t>Funding Details</w:t>
      </w:r>
    </w:p>
    <w:p w:rsidR="00607193" w:rsidRPr="001B4237" w:rsidRDefault="00D2383D" w:rsidP="001B4237">
      <w:pPr>
        <w:spacing w:before="120" w:after="120" w:line="240" w:lineRule="auto"/>
        <w:jc w:val="both"/>
        <w:rPr>
          <w:rFonts w:ascii="Times New Roman" w:eastAsia="Times New Roman" w:hAnsi="Times New Roman" w:cs="Times New Roman"/>
          <w:color w:val="000000"/>
          <w:sz w:val="23"/>
          <w:szCs w:val="24"/>
        </w:rPr>
      </w:pPr>
      <w:r w:rsidRPr="001B4237">
        <w:rPr>
          <w:rFonts w:ascii="Times New Roman" w:eastAsia="Times New Roman" w:hAnsi="Times New Roman" w:cs="Times New Roman"/>
          <w:color w:val="000000"/>
          <w:sz w:val="23"/>
          <w:szCs w:val="24"/>
        </w:rPr>
        <w:t xml:space="preserve">Please supply all details required by your funding and grant-awarding bodies as follows: </w:t>
      </w:r>
    </w:p>
    <w:p w:rsidR="00607193" w:rsidRPr="001B4237" w:rsidRDefault="00D2383D" w:rsidP="001B4237">
      <w:pPr>
        <w:spacing w:before="120" w:after="120" w:line="240" w:lineRule="auto"/>
        <w:jc w:val="both"/>
        <w:rPr>
          <w:rFonts w:ascii="Times New Roman" w:eastAsia="Times New Roman" w:hAnsi="Times New Roman" w:cs="Times New Roman"/>
          <w:color w:val="000000"/>
          <w:sz w:val="23"/>
          <w:szCs w:val="24"/>
        </w:rPr>
      </w:pPr>
      <w:r w:rsidRPr="001B4237">
        <w:rPr>
          <w:rFonts w:ascii="Times New Roman" w:eastAsia="Times New Roman" w:hAnsi="Times New Roman" w:cs="Times New Roman"/>
          <w:color w:val="000000"/>
          <w:sz w:val="23"/>
          <w:szCs w:val="24"/>
        </w:rPr>
        <w:t xml:space="preserve">For single agency grants </w:t>
      </w:r>
    </w:p>
    <w:p w:rsidR="00607193" w:rsidRPr="001B4237" w:rsidRDefault="00D2383D" w:rsidP="001B4237">
      <w:pPr>
        <w:spacing w:before="120" w:after="120" w:line="240" w:lineRule="auto"/>
        <w:jc w:val="both"/>
        <w:rPr>
          <w:rFonts w:ascii="Times New Roman" w:eastAsia="Times New Roman" w:hAnsi="Times New Roman" w:cs="Times New Roman"/>
          <w:color w:val="000000"/>
          <w:sz w:val="23"/>
          <w:szCs w:val="24"/>
        </w:rPr>
      </w:pPr>
      <w:r w:rsidRPr="001B4237">
        <w:rPr>
          <w:rFonts w:ascii="Times New Roman" w:eastAsia="Times New Roman" w:hAnsi="Times New Roman" w:cs="Times New Roman"/>
          <w:b/>
          <w:color w:val="000000"/>
          <w:sz w:val="23"/>
          <w:szCs w:val="24"/>
        </w:rPr>
        <w:t>Disclosure Statement</w:t>
      </w:r>
    </w:p>
    <w:p w:rsidR="00607193" w:rsidRPr="001B4237" w:rsidRDefault="00D2383D" w:rsidP="001B4237">
      <w:pPr>
        <w:spacing w:before="120" w:after="120" w:line="240" w:lineRule="auto"/>
        <w:jc w:val="both"/>
        <w:rPr>
          <w:rFonts w:ascii="Times New Roman" w:eastAsia="Times New Roman" w:hAnsi="Times New Roman" w:cs="Times New Roman"/>
          <w:color w:val="000000"/>
          <w:sz w:val="23"/>
          <w:szCs w:val="24"/>
        </w:rPr>
      </w:pPr>
      <w:r w:rsidRPr="001B4237">
        <w:rPr>
          <w:rFonts w:ascii="Times New Roman" w:eastAsia="Times New Roman" w:hAnsi="Times New Roman" w:cs="Times New Roman"/>
          <w:color w:val="000000"/>
          <w:sz w:val="23"/>
          <w:szCs w:val="24"/>
        </w:rPr>
        <w:t>This is to acknowledge any financial interest or benefit that has arisen from the direct applications of your research.</w:t>
      </w:r>
    </w:p>
    <w:p w:rsidR="00607193" w:rsidRPr="001B4237" w:rsidRDefault="00607193" w:rsidP="001B4237">
      <w:pPr>
        <w:shd w:val="clear" w:color="auto" w:fill="FFFFFF"/>
        <w:spacing w:before="120" w:after="120" w:line="240" w:lineRule="auto"/>
        <w:jc w:val="both"/>
        <w:rPr>
          <w:rFonts w:ascii="Times New Roman" w:eastAsia="Times New Roman" w:hAnsi="Times New Roman" w:cs="Times New Roman"/>
          <w:color w:val="000000"/>
          <w:sz w:val="23"/>
          <w:szCs w:val="24"/>
        </w:rPr>
      </w:pPr>
    </w:p>
    <w:p w:rsidR="006E6C4B" w:rsidRPr="001B4237" w:rsidRDefault="00D2383D" w:rsidP="001B4237">
      <w:pPr>
        <w:spacing w:before="120" w:after="120" w:line="240" w:lineRule="auto"/>
        <w:jc w:val="both"/>
        <w:rPr>
          <w:rFonts w:ascii="Times New Roman" w:eastAsia="Times New Roman" w:hAnsi="Times New Roman" w:cs="Times New Roman"/>
          <w:b/>
          <w:color w:val="000000"/>
          <w:sz w:val="23"/>
          <w:szCs w:val="24"/>
        </w:rPr>
      </w:pPr>
      <w:r w:rsidRPr="001B4237">
        <w:rPr>
          <w:rFonts w:ascii="Times New Roman" w:eastAsia="Times New Roman" w:hAnsi="Times New Roman" w:cs="Times New Roman"/>
          <w:b/>
          <w:color w:val="000000"/>
          <w:sz w:val="23"/>
          <w:szCs w:val="24"/>
        </w:rPr>
        <w:t xml:space="preserve">References </w:t>
      </w:r>
    </w:p>
    <w:p w:rsidR="006E6C4B" w:rsidRPr="00642CC1" w:rsidRDefault="006E6C4B" w:rsidP="00642CC1">
      <w:pPr>
        <w:pStyle w:val="ListParagraph"/>
        <w:numPr>
          <w:ilvl w:val="0"/>
          <w:numId w:val="4"/>
        </w:numPr>
        <w:jc w:val="both"/>
        <w:rPr>
          <w:rFonts w:ascii="Times New Roman" w:hAnsi="Times New Roman" w:cs="Times New Roman"/>
          <w:sz w:val="23"/>
          <w:szCs w:val="23"/>
        </w:rPr>
      </w:pPr>
      <w:r w:rsidRPr="00642CC1">
        <w:rPr>
          <w:rFonts w:ascii="Times New Roman" w:hAnsi="Times New Roman" w:cs="Times New Roman"/>
          <w:sz w:val="23"/>
          <w:szCs w:val="23"/>
        </w:rPr>
        <w:t>T. Mohana Priya, Dr. M. Punithavalli &amp; Dr. R. Rajesh Kanna, Machine Learning Algorithm for Development of Enhanced Support Vector Machine Technique to Predict Stress, Global Journal of Computer Science and Technology: C Software &amp; Data Engineering, Volume 20, Issue 2, No. 2020, pp 12-20</w:t>
      </w:r>
    </w:p>
    <w:p w:rsidR="00607193" w:rsidRPr="00642CC1" w:rsidRDefault="006E6C4B" w:rsidP="00642CC1">
      <w:pPr>
        <w:pStyle w:val="ListParagraph"/>
        <w:numPr>
          <w:ilvl w:val="0"/>
          <w:numId w:val="4"/>
        </w:numPr>
        <w:jc w:val="both"/>
        <w:rPr>
          <w:rFonts w:ascii="Times New Roman" w:hAnsi="Times New Roman" w:cs="Times New Roman"/>
          <w:sz w:val="23"/>
          <w:szCs w:val="23"/>
        </w:rPr>
      </w:pPr>
      <w:r w:rsidRPr="00642CC1">
        <w:rPr>
          <w:rFonts w:ascii="Times New Roman" w:hAnsi="Times New Roman" w:cs="Times New Roman"/>
          <w:sz w:val="23"/>
          <w:szCs w:val="23"/>
        </w:rPr>
        <w:t>Ganesh Kumar and P.Vasanth Sena, “Novel Artificial Neural Networks and Logistic Approach for Detecting Credit Card Deceit,” International Journal of Computer Science and Network Security, Vol. 15, issue 9, Sep. 2015, pp. 222-234</w:t>
      </w:r>
      <w:bookmarkStart w:id="1" w:name="_heading=h.gjdgxs" w:colFirst="0" w:colLast="0"/>
      <w:bookmarkEnd w:id="1"/>
    </w:p>
    <w:sectPr w:rsidR="00607193" w:rsidRPr="00642CC1" w:rsidSect="001B4237">
      <w:headerReference w:type="default" r:id="rId9"/>
      <w:footerReference w:type="even" r:id="rId10"/>
      <w:footerReference w:type="default" r:id="rId11"/>
      <w:pgSz w:w="11906" w:h="16838"/>
      <w:pgMar w:top="1417" w:right="1417" w:bottom="1134" w:left="1417" w:header="426"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6280" w:rsidRDefault="00A66280">
      <w:pPr>
        <w:spacing w:after="0" w:line="240" w:lineRule="auto"/>
      </w:pPr>
      <w:r>
        <w:separator/>
      </w:r>
    </w:p>
  </w:endnote>
  <w:endnote w:type="continuationSeparator" w:id="0">
    <w:p w:rsidR="00A66280" w:rsidRDefault="00A66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93" w:rsidRDefault="00D2383D">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end"/>
    </w:r>
  </w:p>
  <w:p w:rsidR="00607193" w:rsidRDefault="00607193">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5181263"/>
      <w:docPartObj>
        <w:docPartGallery w:val="Page Numbers (Bottom of Page)"/>
        <w:docPartUnique/>
      </w:docPartObj>
    </w:sdtPr>
    <w:sdtEndPr>
      <w:rPr>
        <w:color w:val="7F7F7F" w:themeColor="background1" w:themeShade="7F"/>
        <w:spacing w:val="60"/>
      </w:rPr>
    </w:sdtEndPr>
    <w:sdtContent>
      <w:p w:rsidR="00607193" w:rsidRPr="001B4237" w:rsidRDefault="00E1742C" w:rsidP="001B4237">
        <w:pPr>
          <w:pStyle w:val="Footer"/>
          <w:jc w:val="right"/>
        </w:pPr>
        <w:r>
          <w:fldChar w:fldCharType="begin"/>
        </w:r>
        <w:r>
          <w:instrText xml:space="preserve"> PAGE   \* MERGEFORMAT </w:instrText>
        </w:r>
        <w:r>
          <w:fldChar w:fldCharType="separate"/>
        </w:r>
        <w:r w:rsidR="00A66280">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6280" w:rsidRDefault="00A66280">
      <w:pPr>
        <w:spacing w:after="0" w:line="240" w:lineRule="auto"/>
      </w:pPr>
      <w:r>
        <w:separator/>
      </w:r>
    </w:p>
  </w:footnote>
  <w:footnote w:type="continuationSeparator" w:id="0">
    <w:p w:rsidR="00A66280" w:rsidRDefault="00A66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072"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60"/>
      <w:gridCol w:w="7812"/>
    </w:tblGrid>
    <w:tr w:rsidR="00196F63" w14:paraId="0E49DC43" w14:textId="77777777" w:rsidTr="00220BCF">
      <w:trPr>
        <w:trHeight w:val="1236"/>
      </w:trPr>
      <w:tc>
        <w:tcPr>
          <w:tcW w:w="1260" w:type="dxa"/>
          <w:vAlign w:val="center"/>
        </w:tcPr>
        <w:p w14:paraId="0290CC57" w14:textId="0E1FE880" w:rsidR="00196F63" w:rsidRDefault="00196F63" w:rsidP="0095554B">
          <w:pPr>
            <w:pStyle w:val="IEEETitle"/>
            <w:jc w:val="left"/>
            <w:rPr>
              <w:rFonts w:ascii="Cambria" w:eastAsia="Cambria" w:hAnsi="Cambria" w:cs="Cambria"/>
              <w:b/>
              <w:spacing w:val="-6"/>
              <w:sz w:val="31"/>
              <w:szCs w:val="31"/>
            </w:rPr>
          </w:pPr>
          <w:r>
            <w:rPr>
              <w:noProof/>
              <w:lang w:val="en-IN" w:eastAsia="en-IN"/>
            </w:rPr>
            <w:drawing>
              <wp:inline distT="0" distB="0" distL="0" distR="0" wp14:anchorId="79272314" wp14:editId="65A767E6">
                <wp:extent cx="640080" cy="645019"/>
                <wp:effectExtent l="0" t="0" r="0" b="0"/>
                <wp:docPr id="1" name="IJCSI logo" descr="International Journal of Current Sciences and Engineering Intellige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066159" name="IJCSI logo" descr="International Journal of Current Sciences and Engineering Intelligenc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645019"/>
                        </a:xfrm>
                        <a:prstGeom prst="rect">
                          <a:avLst/>
                        </a:prstGeom>
                        <a:noFill/>
                        <a:ln>
                          <a:noFill/>
                        </a:ln>
                      </pic:spPr>
                    </pic:pic>
                  </a:graphicData>
                </a:graphic>
              </wp:inline>
            </w:drawing>
          </w:r>
        </w:p>
      </w:tc>
      <w:tc>
        <w:tcPr>
          <w:tcW w:w="7812" w:type="dxa"/>
          <w:shd w:val="clear" w:color="auto" w:fill="F2F2F2" w:themeFill="background1" w:themeFillShade="F2"/>
          <w:vAlign w:val="center"/>
        </w:tcPr>
        <w:p w14:paraId="07FBE97F" w14:textId="77777777" w:rsidR="00196F63" w:rsidRPr="009E60A1" w:rsidRDefault="00196F63" w:rsidP="0095554B">
          <w:pPr>
            <w:pStyle w:val="IEEEAuthorName"/>
            <w:rPr>
              <w:rFonts w:ascii="Cambria" w:eastAsia="Cambria" w:hAnsi="Cambria" w:cs="LilyUPC"/>
              <w:b/>
              <w:spacing w:val="-6"/>
              <w:sz w:val="22"/>
              <w:szCs w:val="22"/>
              <w:lang w:val="en-IN" w:eastAsia="zh-CN"/>
            </w:rPr>
          </w:pPr>
          <w:r w:rsidRPr="009E60A1">
            <w:rPr>
              <w:rFonts w:ascii="Cambria" w:eastAsia="Cambria" w:hAnsi="Cambria" w:cs="LilyUPC"/>
              <w:b/>
              <w:spacing w:val="-6"/>
              <w:sz w:val="22"/>
              <w:szCs w:val="22"/>
              <w:lang w:val="en-IN" w:eastAsia="zh-CN"/>
            </w:rPr>
            <w:t>International Journal of Current Sciences and Engineering Intelligence</w:t>
          </w:r>
        </w:p>
        <w:p w14:paraId="66394FFB" w14:textId="711AD062" w:rsidR="00196F63" w:rsidRPr="00797D31" w:rsidRDefault="00196F63" w:rsidP="0095554B">
          <w:pPr>
            <w:pStyle w:val="IEEEAuthorName"/>
            <w:rPr>
              <w:rFonts w:ascii="Cambria" w:eastAsia="Cambria" w:hAnsi="Cambria" w:cs="LilyUPC"/>
              <w:b/>
              <w:spacing w:val="-6"/>
              <w:sz w:val="17"/>
              <w:szCs w:val="17"/>
              <w:lang w:val="en-AU" w:eastAsia="zh-CN"/>
            </w:rPr>
          </w:pPr>
          <w:r w:rsidRPr="00A96671">
            <w:rPr>
              <w:noProof/>
              <w:szCs w:val="19"/>
              <w:lang w:val="en-IN" w:eastAsia="en-IN"/>
            </w:rPr>
            <w:drawing>
              <wp:anchor distT="0" distB="0" distL="114300" distR="114300" simplePos="0" relativeHeight="251659264" behindDoc="0" locked="0" layoutInCell="1" allowOverlap="1" wp14:anchorId="73F8FBC8" wp14:editId="2C3291C7">
                <wp:simplePos x="0" y="0"/>
                <wp:positionH relativeFrom="column">
                  <wp:posOffset>1580231</wp:posOffset>
                </wp:positionH>
                <wp:positionV relativeFrom="paragraph">
                  <wp:posOffset>161290</wp:posOffset>
                </wp:positionV>
                <wp:extent cx="719455" cy="287655"/>
                <wp:effectExtent l="0" t="0" r="4445" b="0"/>
                <wp:wrapNone/>
                <wp:docPr id="2" name="Picture 2" descr="A logo with a lock and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407399" name="Picture 1497407399" descr="A logo with a lock and a circle&#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945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7D31">
            <w:rPr>
              <w:rFonts w:ascii="Cambria" w:eastAsia="Cambria" w:hAnsi="Cambria" w:cs="LilyUPC"/>
              <w:b/>
              <w:spacing w:val="-6"/>
              <w:sz w:val="17"/>
              <w:szCs w:val="17"/>
              <w:lang w:val="en-IN" w:eastAsia="zh-CN"/>
            </w:rPr>
            <w:t>( Peer-Reviewed, Open Access, Fully Refereed International Journal )</w:t>
          </w:r>
        </w:p>
        <w:tbl>
          <w:tblPr>
            <w:tblStyle w:val="TableGrid"/>
            <w:tblW w:w="7710" w:type="dxa"/>
            <w:tblInd w:w="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9"/>
            <w:gridCol w:w="5360"/>
          </w:tblGrid>
          <w:tr w:rsidR="00196F63" w:rsidRPr="005D08F3" w14:paraId="0070D28D" w14:textId="77777777" w:rsidTr="00220BCF">
            <w:trPr>
              <w:trHeight w:val="768"/>
            </w:trPr>
            <w:tc>
              <w:tcPr>
                <w:tcW w:w="2349" w:type="dxa"/>
              </w:tcPr>
              <w:p w14:paraId="3FBE2C69" w14:textId="19FF596C" w:rsidR="00196F63" w:rsidRPr="00811C80" w:rsidRDefault="00196F63" w:rsidP="0095554B">
                <w:pPr>
                  <w:pStyle w:val="IEEEAuthorName"/>
                  <w:spacing w:before="0" w:after="0"/>
                  <w:jc w:val="left"/>
                  <w:rPr>
                    <w:rFonts w:ascii="Cambria" w:hAnsi="Cambria" w:cs="Latha"/>
                    <w:b/>
                    <w:bCs/>
                    <w:sz w:val="18"/>
                    <w:szCs w:val="18"/>
                  </w:rPr>
                </w:pPr>
                <w:r w:rsidRPr="00811C80">
                  <w:rPr>
                    <w:rFonts w:ascii="Cambria" w:hAnsi="Cambria"/>
                    <w:sz w:val="18"/>
                    <w:szCs w:val="18"/>
                  </w:rPr>
                  <w:t xml:space="preserve">website: </w:t>
                </w:r>
                <w:hyperlink r:id="rId3" w:history="1">
                  <w:r w:rsidRPr="00CA619E">
                    <w:rPr>
                      <w:rStyle w:val="Hyperlink"/>
                      <w:rFonts w:ascii="Cambria" w:hAnsi="Cambria"/>
                      <w:i/>
                      <w:color w:val="000000" w:themeColor="text1"/>
                      <w:sz w:val="17"/>
                      <w:szCs w:val="17"/>
                      <w:u w:val="none"/>
                    </w:rPr>
                    <w:t>https://ijcsi.com</w:t>
                  </w:r>
                </w:hyperlink>
              </w:p>
              <w:p w14:paraId="7DBA99B3" w14:textId="7ECDF9B5" w:rsidR="00196F63" w:rsidRPr="005761DB" w:rsidRDefault="00FF457D" w:rsidP="0095554B">
                <w:pPr>
                  <w:pStyle w:val="IEEEAuthorName"/>
                  <w:spacing w:before="0" w:after="0"/>
                  <w:jc w:val="left"/>
                  <w:rPr>
                    <w:rFonts w:asciiTheme="majorHAnsi" w:hAnsiTheme="majorHAnsi"/>
                    <w:sz w:val="14"/>
                    <w:szCs w:val="14"/>
                    <w:lang w:val="en-AU" w:eastAsia="zh-CN"/>
                  </w:rPr>
                </w:pPr>
                <w:r>
                  <w:rPr>
                    <w:rFonts w:asciiTheme="majorHAnsi" w:hAnsiTheme="majorHAnsi"/>
                    <w:sz w:val="14"/>
                    <w:szCs w:val="14"/>
                    <w:lang w:val="en-AU" w:eastAsia="zh-CN"/>
                  </w:rPr>
                  <w:t/>
                </w:r>
                <w:r w:rsidR="00196F63">
                  <w:rPr>
                    <w:rFonts w:asciiTheme="majorHAnsi" w:hAnsiTheme="majorHAnsi"/>
                    <w:sz w:val="14"/>
                    <w:szCs w:val="14"/>
                    <w:lang w:val="en-AU" w:eastAsia="zh-CN"/>
                  </w:rPr>
                  <w:t/>
                </w:r>
              </w:p>
            </w:tc>
            <w:tc>
              <w:tcPr>
                <w:tcW w:w="5360" w:type="dxa"/>
              </w:tcPr>
              <w:p w14:paraId="0D3F921A" w14:textId="5D25D3BE" w:rsidR="00196F63" w:rsidRDefault="00196F63" w:rsidP="0095554B">
                <w:pPr>
                  <w:pStyle w:val="IEEEAuthorName"/>
                  <w:spacing w:before="0" w:after="0"/>
                  <w:ind w:left="323"/>
                  <w:jc w:val="right"/>
                  <w:rPr>
                    <w:rFonts w:asciiTheme="majorHAnsi" w:hAnsiTheme="majorHAnsi"/>
                    <w:sz w:val="13"/>
                    <w:szCs w:val="13"/>
                  </w:rPr>
                </w:pPr>
                <w:r w:rsidRPr="00A96671">
                  <w:rPr>
                    <w:rFonts w:ascii="Cambria" w:hAnsi="Cambria" w:cs="Latha"/>
                    <w:b/>
                    <w:bCs/>
                    <w:szCs w:val="19"/>
                  </w:rPr>
                  <w:t>E-ISSN :</w:t>
                </w:r>
                <w:r>
                  <w:rPr>
                    <w:rFonts w:ascii="Cambria" w:hAnsi="Cambria" w:cs="Latha"/>
                    <w:b/>
                    <w:bCs/>
                  </w:rPr>
                  <w:t xml:space="preserve"> Pending</w:t>
                </w:r>
                <w:r>
                  <w:rPr>
                    <w:rFonts w:ascii="Cambria" w:hAnsi="Cambria" w:cs="Latha"/>
                    <w:b/>
                    <w:bCs/>
                    <w:sz w:val="20"/>
                    <w:szCs w:val="20"/>
                  </w:rPr>
                  <w:t xml:space="preserve">                   </w:t>
                </w:r>
                <w:r w:rsidRPr="00811C80">
                  <w:rPr>
                    <w:rFonts w:ascii="Cambria" w:hAnsi="Cambria" w:cs="Latha"/>
                    <w:b/>
                    <w:bCs/>
                    <w:sz w:val="20"/>
                    <w:szCs w:val="20"/>
                  </w:rPr>
                  <w:t xml:space="preserve">                   </w:t>
                </w:r>
              </w:p>
              <w:p w14:paraId="7AA754E5" w14:textId="4BA74FD7" w:rsidR="00196F63" w:rsidRPr="00220BCF" w:rsidRDefault="00196F63" w:rsidP="00F44B72">
                <w:pPr>
                  <w:pStyle w:val="IEEEAuthorName"/>
                  <w:spacing w:before="0" w:after="0"/>
                  <w:ind w:left="323"/>
                  <w:jc w:val="right"/>
                  <w:rPr>
                    <w:sz w:val="14"/>
                    <w:szCs w:val="14"/>
                  </w:rPr>
                </w:pPr>
                <w:r>
                  <w:rPr>
                    <w:rFonts w:asciiTheme="majorHAnsi" w:hAnsiTheme="majorHAnsi"/>
                    <w:sz w:val="14"/>
                    <w:szCs w:val="14"/>
                  </w:rPr>
                  <w:t/>
                </w:r>
              </w:p>
            </w:tc>
          </w:tr>
        </w:tbl>
        <w:p w14:paraId="034A1A5B" w14:textId="77777777" w:rsidR="00196F63" w:rsidRPr="005819F4" w:rsidRDefault="00196F63" w:rsidP="0095554B">
          <w:pPr>
            <w:pStyle w:val="IEEETitle"/>
            <w:spacing w:line="276" w:lineRule="auto"/>
            <w:rPr>
              <w:rFonts w:ascii="Sylfaen" w:hAnsi="Sylfaen" w:cs="Latha"/>
              <w:sz w:val="20"/>
            </w:rPr>
          </w:pPr>
        </w:p>
      </w:tc>
    </w:tr>
  </w:tbl>
  <w:p w14:paraId="7A000571" w14:textId="55FA68BC" w:rsidR="00196F63" w:rsidRPr="0095554B" w:rsidRDefault="00196F63" w:rsidP="009555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9031E"/>
    <w:multiLevelType w:val="hybridMultilevel"/>
    <w:tmpl w:val="A5506B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F971F8E"/>
    <w:multiLevelType w:val="multilevel"/>
    <w:tmpl w:val="98848C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76463D5"/>
    <w:multiLevelType w:val="multilevel"/>
    <w:tmpl w:val="71F8AAC6"/>
    <w:lvl w:ilvl="0">
      <w:start w:val="1"/>
      <w:numFmt w:val="decimal"/>
      <w:suff w:val="space"/>
      <w:lvlText w:val="%1."/>
      <w:lvlJc w:val="left"/>
      <w:pPr>
        <w:ind w:left="153" w:hanging="23"/>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3" w15:restartNumberingAfterBreak="0">
    <w:nsid w:val="74EC4A3B"/>
    <w:multiLevelType w:val="hybridMultilevel"/>
    <w:tmpl w:val="AA7E3DFA"/>
    <w:lvl w:ilvl="0" w:tplc="4009000F">
      <w:start w:val="1"/>
      <w:numFmt w:val="decimal"/>
      <w:lvlText w:val="%1."/>
      <w:lvlJc w:val="left"/>
      <w:pPr>
        <w:ind w:left="360" w:hanging="360"/>
      </w:pPr>
      <w:rPr>
        <w:rFonts w:hint="default"/>
        <w:b w:val="0"/>
        <w:bCs w:val="0"/>
        <w:i w:val="0"/>
        <w:iCs w:val="0"/>
        <w:sz w:val="24"/>
        <w:szCs w:val="24"/>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193"/>
    <w:rsid w:val="001746B8"/>
    <w:rsid w:val="001979B0"/>
    <w:rsid w:val="001B4237"/>
    <w:rsid w:val="00273186"/>
    <w:rsid w:val="0033612B"/>
    <w:rsid w:val="004474C6"/>
    <w:rsid w:val="00607193"/>
    <w:rsid w:val="00642CC1"/>
    <w:rsid w:val="006E6C4B"/>
    <w:rsid w:val="007836E1"/>
    <w:rsid w:val="00A66280"/>
    <w:rsid w:val="00AB79DF"/>
    <w:rsid w:val="00C90626"/>
    <w:rsid w:val="00D2383D"/>
    <w:rsid w:val="00E1742C"/>
    <w:rsid w:val="00E55D2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D6A7E8"/>
  <w15:docId w15:val="{E1A10C8D-721F-4CFF-8BC3-038680E03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E25C6"/>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5E25C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71838"/>
    <w:pPr>
      <w:keepNext/>
      <w:keepLines/>
      <w:spacing w:before="40" w:after="0" w:line="276" w:lineRule="auto"/>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896FC6"/>
    <w:pPr>
      <w:keepNext/>
      <w:keepLines/>
      <w:spacing w:before="40" w:after="0" w:line="276" w:lineRule="auto"/>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5E25C6"/>
    <w:rPr>
      <w:rFonts w:asciiTheme="majorHAnsi" w:eastAsiaTheme="majorEastAsia" w:hAnsiTheme="majorHAnsi" w:cstheme="majorBidi"/>
      <w:b/>
      <w:bCs/>
      <w:color w:val="2E74B5" w:themeColor="accent1" w:themeShade="BF"/>
      <w:sz w:val="28"/>
      <w:szCs w:val="28"/>
      <w:lang w:val="en-US"/>
    </w:rPr>
  </w:style>
  <w:style w:type="character" w:customStyle="1" w:styleId="Heading2Char">
    <w:name w:val="Heading 2 Char"/>
    <w:basedOn w:val="DefaultParagraphFont"/>
    <w:link w:val="Heading2"/>
    <w:uiPriority w:val="9"/>
    <w:rsid w:val="005E25C6"/>
    <w:rPr>
      <w:rFonts w:asciiTheme="majorHAnsi" w:eastAsiaTheme="majorEastAsia" w:hAnsiTheme="majorHAnsi" w:cstheme="majorBidi"/>
      <w:color w:val="2E74B5" w:themeColor="accent1" w:themeShade="BF"/>
      <w:sz w:val="26"/>
      <w:szCs w:val="26"/>
      <w:lang w:val="en-US"/>
    </w:rPr>
  </w:style>
  <w:style w:type="paragraph" w:styleId="FootnoteText">
    <w:name w:val="footnote text"/>
    <w:basedOn w:val="Normal"/>
    <w:link w:val="FootnoteTextChar"/>
    <w:uiPriority w:val="99"/>
    <w:semiHidden/>
    <w:unhideWhenUsed/>
    <w:rsid w:val="00AD63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63A1"/>
    <w:rPr>
      <w:sz w:val="20"/>
      <w:szCs w:val="20"/>
      <w:lang w:val="en-US"/>
    </w:rPr>
  </w:style>
  <w:style w:type="character" w:styleId="FootnoteReference">
    <w:name w:val="footnote reference"/>
    <w:basedOn w:val="DefaultParagraphFont"/>
    <w:uiPriority w:val="99"/>
    <w:semiHidden/>
    <w:unhideWhenUsed/>
    <w:rsid w:val="00AD63A1"/>
    <w:rPr>
      <w:vertAlign w:val="superscript"/>
    </w:rPr>
  </w:style>
  <w:style w:type="paragraph" w:styleId="NormalWeb">
    <w:name w:val="Normal (Web)"/>
    <w:basedOn w:val="Normal"/>
    <w:uiPriority w:val="99"/>
    <w:unhideWhenUsed/>
    <w:rsid w:val="00AD63A1"/>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AD63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63A1"/>
    <w:rPr>
      <w:rFonts w:ascii="Segoe UI" w:hAnsi="Segoe UI" w:cs="Segoe UI"/>
      <w:sz w:val="18"/>
      <w:szCs w:val="18"/>
      <w:lang w:val="en-US"/>
    </w:rPr>
  </w:style>
  <w:style w:type="character" w:styleId="Hyperlink">
    <w:name w:val="Hyperlink"/>
    <w:basedOn w:val="DefaultParagraphFont"/>
    <w:uiPriority w:val="99"/>
    <w:unhideWhenUsed/>
    <w:rsid w:val="00082BC9"/>
    <w:rPr>
      <w:color w:val="0563C1" w:themeColor="hyperlink"/>
      <w:u w:val="single"/>
    </w:rPr>
  </w:style>
  <w:style w:type="character" w:styleId="CommentReference">
    <w:name w:val="annotation reference"/>
    <w:basedOn w:val="DefaultParagraphFont"/>
    <w:uiPriority w:val="99"/>
    <w:semiHidden/>
    <w:unhideWhenUsed/>
    <w:rsid w:val="000A2839"/>
    <w:rPr>
      <w:sz w:val="16"/>
      <w:szCs w:val="16"/>
    </w:rPr>
  </w:style>
  <w:style w:type="paragraph" w:styleId="CommentText">
    <w:name w:val="annotation text"/>
    <w:basedOn w:val="Normal"/>
    <w:link w:val="CommentTextChar"/>
    <w:uiPriority w:val="99"/>
    <w:semiHidden/>
    <w:unhideWhenUsed/>
    <w:rsid w:val="000A2839"/>
    <w:pPr>
      <w:spacing w:after="20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0A2839"/>
    <w:rPr>
      <w:rFonts w:eastAsiaTheme="minorEastAsia"/>
      <w:sz w:val="20"/>
      <w:szCs w:val="20"/>
      <w:lang w:val="en-US"/>
    </w:rPr>
  </w:style>
  <w:style w:type="character" w:customStyle="1" w:styleId="Heading3Char">
    <w:name w:val="Heading 3 Char"/>
    <w:basedOn w:val="DefaultParagraphFont"/>
    <w:link w:val="Heading3"/>
    <w:uiPriority w:val="9"/>
    <w:rsid w:val="00971838"/>
    <w:rPr>
      <w:rFonts w:asciiTheme="majorHAnsi" w:eastAsiaTheme="majorEastAsia" w:hAnsiTheme="majorHAnsi" w:cstheme="majorBidi"/>
      <w:color w:val="1F4D78" w:themeColor="accent1" w:themeShade="7F"/>
      <w:sz w:val="24"/>
      <w:szCs w:val="24"/>
      <w:lang w:val="en-US"/>
    </w:rPr>
  </w:style>
  <w:style w:type="table" w:styleId="TableGrid">
    <w:name w:val="Table Grid"/>
    <w:basedOn w:val="TableNormal"/>
    <w:uiPriority w:val="59"/>
    <w:rsid w:val="00C845C1"/>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D5155"/>
    <w:pPr>
      <w:spacing w:after="160"/>
    </w:pPr>
    <w:rPr>
      <w:rFonts w:eastAsiaTheme="minorHAnsi"/>
      <w:b/>
      <w:bCs/>
    </w:rPr>
  </w:style>
  <w:style w:type="character" w:customStyle="1" w:styleId="CommentSubjectChar">
    <w:name w:val="Comment Subject Char"/>
    <w:basedOn w:val="CommentTextChar"/>
    <w:link w:val="CommentSubject"/>
    <w:uiPriority w:val="99"/>
    <w:semiHidden/>
    <w:rsid w:val="00AD5155"/>
    <w:rPr>
      <w:rFonts w:eastAsiaTheme="minorEastAsia"/>
      <w:b/>
      <w:bCs/>
      <w:sz w:val="20"/>
      <w:szCs w:val="20"/>
      <w:lang w:val="en-US"/>
    </w:rPr>
  </w:style>
  <w:style w:type="character" w:customStyle="1" w:styleId="Heading4Char">
    <w:name w:val="Heading 4 Char"/>
    <w:basedOn w:val="DefaultParagraphFont"/>
    <w:link w:val="Heading4"/>
    <w:uiPriority w:val="9"/>
    <w:rsid w:val="00896FC6"/>
    <w:rPr>
      <w:rFonts w:asciiTheme="majorHAnsi" w:eastAsiaTheme="majorEastAsia" w:hAnsiTheme="majorHAnsi" w:cstheme="majorBidi"/>
      <w:i/>
      <w:iCs/>
      <w:color w:val="2E74B5" w:themeColor="accent1" w:themeShade="BF"/>
      <w:lang w:val="en-US"/>
    </w:rPr>
  </w:style>
  <w:style w:type="character" w:styleId="FollowedHyperlink">
    <w:name w:val="FollowedHyperlink"/>
    <w:basedOn w:val="DefaultParagraphFont"/>
    <w:uiPriority w:val="99"/>
    <w:semiHidden/>
    <w:unhideWhenUsed/>
    <w:rsid w:val="00320D40"/>
    <w:rPr>
      <w:color w:val="954F72" w:themeColor="followedHyperlink"/>
      <w:u w:val="single"/>
    </w:rPr>
  </w:style>
  <w:style w:type="paragraph" w:styleId="Header">
    <w:name w:val="header"/>
    <w:basedOn w:val="Normal"/>
    <w:link w:val="HeaderChar"/>
    <w:uiPriority w:val="99"/>
    <w:unhideWhenUsed/>
    <w:rsid w:val="00B656C8"/>
    <w:pPr>
      <w:tabs>
        <w:tab w:val="center" w:pos="4536"/>
        <w:tab w:val="right" w:pos="9072"/>
      </w:tabs>
      <w:spacing w:after="0" w:line="240" w:lineRule="auto"/>
    </w:pPr>
  </w:style>
  <w:style w:type="character" w:customStyle="1" w:styleId="HeaderChar">
    <w:name w:val="Header Char"/>
    <w:basedOn w:val="DefaultParagraphFont"/>
    <w:link w:val="Header"/>
    <w:uiPriority w:val="99"/>
    <w:rsid w:val="00B656C8"/>
    <w:rPr>
      <w:lang w:val="en-US"/>
    </w:rPr>
  </w:style>
  <w:style w:type="paragraph" w:styleId="Footer">
    <w:name w:val="footer"/>
    <w:basedOn w:val="Normal"/>
    <w:link w:val="FooterChar"/>
    <w:uiPriority w:val="99"/>
    <w:unhideWhenUsed/>
    <w:rsid w:val="00B656C8"/>
    <w:pPr>
      <w:tabs>
        <w:tab w:val="center" w:pos="4536"/>
        <w:tab w:val="right" w:pos="9072"/>
      </w:tabs>
      <w:spacing w:after="0" w:line="240" w:lineRule="auto"/>
    </w:pPr>
  </w:style>
  <w:style w:type="character" w:customStyle="1" w:styleId="FooterChar">
    <w:name w:val="Footer Char"/>
    <w:basedOn w:val="DefaultParagraphFont"/>
    <w:link w:val="Footer"/>
    <w:uiPriority w:val="99"/>
    <w:rsid w:val="00B656C8"/>
    <w:rPr>
      <w:lang w:val="en-US"/>
    </w:rPr>
  </w:style>
  <w:style w:type="character" w:customStyle="1" w:styleId="UnresolvedMention1">
    <w:name w:val="Unresolved Mention1"/>
    <w:basedOn w:val="DefaultParagraphFont"/>
    <w:uiPriority w:val="99"/>
    <w:semiHidden/>
    <w:unhideWhenUsed/>
    <w:rsid w:val="000E3037"/>
    <w:rPr>
      <w:color w:val="605E5C"/>
      <w:shd w:val="clear" w:color="auto" w:fill="E1DFDD"/>
    </w:rPr>
  </w:style>
  <w:style w:type="character" w:customStyle="1" w:styleId="UnresolvedMention">
    <w:name w:val="Unresolved Mention"/>
    <w:basedOn w:val="DefaultParagraphFont"/>
    <w:uiPriority w:val="99"/>
    <w:semiHidden/>
    <w:unhideWhenUsed/>
    <w:rsid w:val="00E32888"/>
    <w:rPr>
      <w:color w:val="605E5C"/>
      <w:shd w:val="clear" w:color="auto" w:fill="E1DFDD"/>
    </w:rPr>
  </w:style>
  <w:style w:type="character" w:styleId="PageNumber">
    <w:name w:val="page number"/>
    <w:basedOn w:val="DefaultParagraphFont"/>
    <w:uiPriority w:val="99"/>
    <w:semiHidden/>
    <w:unhideWhenUsed/>
    <w:rsid w:val="00617E87"/>
  </w:style>
  <w:style w:type="paragraph" w:customStyle="1" w:styleId="Default">
    <w:name w:val="Default"/>
    <w:rsid w:val="00D57FEC"/>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D57FEC"/>
    <w:rPr>
      <w:i/>
      <w:iCs/>
    </w:rPr>
  </w:style>
  <w:style w:type="paragraph" w:styleId="Revision">
    <w:name w:val="Revision"/>
    <w:hidden/>
    <w:uiPriority w:val="99"/>
    <w:semiHidden/>
    <w:rsid w:val="00F52B4B"/>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6E6C4B"/>
    <w:pPr>
      <w:ind w:left="720"/>
      <w:contextualSpacing/>
    </w:pPr>
    <w:rPr>
      <w:rFonts w:asciiTheme="minorHAnsi" w:eastAsiaTheme="minorHAnsi" w:hAnsiTheme="minorHAnsi" w:cstheme="minorBidi"/>
      <w:lang w:eastAsia="en-US"/>
    </w:rPr>
  </w:style>
  <w:style w:type="paragraph" w:customStyle="1" w:styleId="IEEETitle">
    <w:name w:val="IEEE Title"/>
    <w:basedOn w:val="Normal"/>
    <w:next w:val="Normal"/>
    <w:rsid w:val="003A6FD2"/>
    <w:pPr>
      <w:adjustRightInd w:val="0"/>
      <w:snapToGrid w:val="0"/>
      <w:spacing w:after="0" w:line="240" w:lineRule="auto"/>
      <w:jc w:val="center"/>
    </w:pPr>
    <w:rPr>
      <w:rFonts w:ascii="Times New Roman" w:eastAsia="SimSun" w:hAnsi="Times New Roman" w:cs="Times New Roman"/>
      <w:sz w:val="48"/>
      <w:szCs w:val="24"/>
      <w:lang w:val="en-AU" w:eastAsia="zh-CN"/>
    </w:rPr>
  </w:style>
  <w:style w:type="paragraph" w:customStyle="1" w:styleId="IEEEAuthorName">
    <w:name w:val="IEEE Author Name"/>
    <w:basedOn w:val="Normal"/>
    <w:next w:val="Normal"/>
    <w:rsid w:val="0095554B"/>
    <w:pPr>
      <w:adjustRightInd w:val="0"/>
      <w:snapToGrid w:val="0"/>
      <w:spacing w:before="120" w:after="120" w:line="240" w:lineRule="auto"/>
      <w:jc w:val="center"/>
    </w:pPr>
    <w:rPr>
      <w:rFonts w:ascii="Times New Roman" w:eastAsia="Times New Roman" w:hAnsi="Times New Roman"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s://ijcsi.com" TargetMode="External"/><Relationship Id="rId2" Type="http://schemas.openxmlformats.org/officeDocument/2006/relationships/image" Target="media/open-access.png"/><Relationship Id="rId1" Type="http://schemas.openxmlformats.org/officeDocument/2006/relationships/image" Target="media/ijcsi-logo.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FKw8vAzWlVcbQDOxwlrVaFaSCA==">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753</Words>
  <Characters>4296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cuneyt gurer</dc:creator>
  <cp:lastModifiedBy>Dr Sadik khan</cp:lastModifiedBy>
  <cp:revision>15</cp:revision>
  <dcterms:created xsi:type="dcterms:W3CDTF">2024-10-25T17:00:00Z</dcterms:created>
  <dcterms:modified xsi:type="dcterms:W3CDTF">2026-10-02T05:26:00Z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